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B5" w:rsidRDefault="00C317B5" w:rsidP="002E4E3B">
      <w:pPr>
        <w:pStyle w:val="Heading2"/>
      </w:pPr>
      <w:bookmarkStart w:id="0" w:name="_GoBack"/>
      <w:bookmarkEnd w:id="0"/>
    </w:p>
    <w:p w:rsidR="000E1E41" w:rsidRPr="00550FC8" w:rsidRDefault="000E1E41" w:rsidP="000E1E41">
      <w:pPr>
        <w:pStyle w:val="14bldcentr"/>
      </w:pPr>
      <w:r w:rsidRPr="00550FC8">
        <w:t>A</w:t>
      </w:r>
      <w:r>
        <w:t>D</w:t>
      </w:r>
      <w:r w:rsidRPr="00550FC8">
        <w:t xml:space="preserve">DENDUM </w:t>
      </w:r>
      <w:r w:rsidR="00E908DF">
        <w:t>ONE</w:t>
      </w:r>
      <w:r w:rsidR="00565F30">
        <w:t>, QUESTIONS and ANSWERS</w:t>
      </w:r>
    </w:p>
    <w:p w:rsidR="000E1E41" w:rsidRPr="00BD5697" w:rsidRDefault="000E1E41" w:rsidP="000E1E41">
      <w:pPr>
        <w:pStyle w:val="Level1Body"/>
      </w:pPr>
    </w:p>
    <w:p w:rsidR="000E1E41" w:rsidRPr="00BD5697" w:rsidRDefault="000E1E41" w:rsidP="000E1E41">
      <w:pPr>
        <w:pStyle w:val="Level1Body"/>
      </w:pPr>
    </w:p>
    <w:p w:rsidR="000E1E41" w:rsidRPr="00025644" w:rsidRDefault="000E1E41" w:rsidP="000E1E41">
      <w:pPr>
        <w:pStyle w:val="Level1Body"/>
      </w:pPr>
      <w:r w:rsidRPr="00BD5697">
        <w:t>Date</w:t>
      </w:r>
      <w:r>
        <w:t>:</w:t>
      </w:r>
      <w:r>
        <w:tab/>
      </w:r>
      <w:r>
        <w:tab/>
      </w:r>
      <w:r w:rsidR="00025644">
        <w:t>February 2, 2018</w:t>
      </w:r>
    </w:p>
    <w:p w:rsidR="000E1E41" w:rsidRPr="00BD5697" w:rsidRDefault="000E1E41" w:rsidP="000E1E41">
      <w:pPr>
        <w:pStyle w:val="Level1Body"/>
      </w:pPr>
    </w:p>
    <w:p w:rsidR="000E1E41" w:rsidRPr="00BD5697" w:rsidRDefault="000E1E41" w:rsidP="000E1E41">
      <w:pPr>
        <w:pStyle w:val="Level1Body"/>
      </w:pPr>
      <w:r w:rsidRPr="00BD5697">
        <w:t>To:</w:t>
      </w:r>
      <w:r w:rsidRPr="00BD5697">
        <w:tab/>
      </w:r>
      <w:r w:rsidRPr="00BD5697">
        <w:tab/>
        <w:t xml:space="preserve">All Bidders </w:t>
      </w:r>
    </w:p>
    <w:p w:rsidR="000E1E41" w:rsidRPr="00BD5697" w:rsidRDefault="000E1E41" w:rsidP="000E1E41">
      <w:pPr>
        <w:pStyle w:val="Level1Body"/>
      </w:pPr>
    </w:p>
    <w:p w:rsidR="000E1E41" w:rsidRDefault="000E1E41" w:rsidP="000E1E41">
      <w:pPr>
        <w:pStyle w:val="Level1Body"/>
      </w:pPr>
      <w:r w:rsidRPr="00BD5697">
        <w:t>From:</w:t>
      </w:r>
      <w:r w:rsidRPr="00BD5697">
        <w:tab/>
      </w:r>
      <w:bookmarkStart w:id="1" w:name="Text4"/>
      <w:r>
        <w:tab/>
      </w:r>
      <w:bookmarkEnd w:id="1"/>
      <w:r w:rsidR="00025644">
        <w:t>Michelle Thompson/Dianna Gilliland</w:t>
      </w:r>
      <w:r w:rsidRPr="00BD5697">
        <w:t>, Buyer</w:t>
      </w:r>
      <w:r w:rsidR="00E908DF">
        <w:t>s</w:t>
      </w:r>
    </w:p>
    <w:p w:rsidR="000E1E41" w:rsidRDefault="00E908DF" w:rsidP="00E908DF">
      <w:pPr>
        <w:pStyle w:val="Level1Body"/>
        <w:ind w:left="1440"/>
      </w:pPr>
      <w:r>
        <w:t>AS Materiel State Purchasing Bureau</w:t>
      </w:r>
    </w:p>
    <w:p w:rsidR="00E908DF" w:rsidRDefault="00E908DF" w:rsidP="00E908DF">
      <w:pPr>
        <w:pStyle w:val="Level1Body"/>
        <w:ind w:left="1440"/>
      </w:pPr>
    </w:p>
    <w:p w:rsidR="00E908DF" w:rsidRPr="00025644" w:rsidRDefault="006435BF" w:rsidP="00E908DF">
      <w:pPr>
        <w:pStyle w:val="Level1Body"/>
        <w:ind w:left="1440" w:hanging="1440"/>
      </w:pPr>
      <w:r>
        <w:t>RE:</w:t>
      </w:r>
      <w:r>
        <w:tab/>
      </w:r>
      <w:r w:rsidR="00E908DF">
        <w:t xml:space="preserve">Addendum for Request for Proposal </w:t>
      </w:r>
      <w:r w:rsidR="00E908DF" w:rsidRPr="00B64AE8">
        <w:t>Number</w:t>
      </w:r>
      <w:r w:rsidR="00E908DF">
        <w:t xml:space="preserve"> </w:t>
      </w:r>
      <w:r w:rsidR="00025644">
        <w:t>5761 Z1</w:t>
      </w:r>
    </w:p>
    <w:p w:rsidR="00E908DF" w:rsidRPr="00FB04DC" w:rsidRDefault="00E908DF" w:rsidP="00E908DF">
      <w:pPr>
        <w:pStyle w:val="Level1Body"/>
      </w:pPr>
      <w:r>
        <w:tab/>
      </w:r>
      <w:r>
        <w:tab/>
      </w:r>
      <w:proofErr w:type="gramStart"/>
      <w:r>
        <w:t>to</w:t>
      </w:r>
      <w:proofErr w:type="gramEnd"/>
      <w:r>
        <w:t xml:space="preserve"> be opened </w:t>
      </w:r>
      <w:r w:rsidR="00025644">
        <w:t xml:space="preserve">February 15, 2018, </w:t>
      </w:r>
      <w:r>
        <w:t>at 2:00 P.M. Central Time</w:t>
      </w:r>
    </w:p>
    <w:p w:rsidR="007124F4" w:rsidRPr="00FB04DC" w:rsidRDefault="007124F4" w:rsidP="00E908DF">
      <w:pPr>
        <w:pStyle w:val="Level1Body"/>
        <w:ind w:left="1440" w:hanging="1440"/>
      </w:pPr>
    </w:p>
    <w:p w:rsidR="007124F4" w:rsidRPr="00FB04DC" w:rsidRDefault="00D75CF5" w:rsidP="00FB04DC">
      <w:pPr>
        <w:pStyle w:val="Level1Body"/>
      </w:pPr>
      <w:r w:rsidRPr="00FB04DC">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8CF2"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FB04DC" w:rsidRDefault="007124F4" w:rsidP="00FB04DC">
      <w:pPr>
        <w:pStyle w:val="Level1Body"/>
        <w:sectPr w:rsidR="007124F4" w:rsidRPr="00FB04DC" w:rsidSect="00EE7171">
          <w:headerReference w:type="default" r:id="rId8"/>
          <w:footerReference w:type="default" r:id="rId9"/>
          <w:endnotePr>
            <w:numFmt w:val="decimal"/>
          </w:endnotePr>
          <w:pgSz w:w="12240" w:h="15840" w:code="1"/>
          <w:pgMar w:top="1008" w:right="1008" w:bottom="1008" w:left="1008" w:header="360" w:footer="360" w:gutter="0"/>
          <w:cols w:space="720"/>
          <w:noEndnote/>
          <w:docGrid w:linePitch="299"/>
        </w:sectPr>
      </w:pPr>
    </w:p>
    <w:p w:rsidR="00565F30" w:rsidRPr="00BD5697" w:rsidRDefault="00565F30" w:rsidP="00565F30">
      <w:pPr>
        <w:pStyle w:val="Heading4"/>
      </w:pPr>
      <w:r>
        <w:t>Questions and Answers</w:t>
      </w:r>
    </w:p>
    <w:p w:rsidR="00565F30" w:rsidRPr="00BD5697" w:rsidRDefault="00565F30" w:rsidP="00565F30">
      <w:pPr>
        <w:pStyle w:val="Level1Body"/>
      </w:pPr>
    </w:p>
    <w:p w:rsidR="00E908DF" w:rsidRPr="006435BF" w:rsidRDefault="00E908DF" w:rsidP="00E908DF">
      <w:pPr>
        <w:pStyle w:val="Level1Body"/>
        <w:rPr>
          <w:sz w:val="20"/>
        </w:rPr>
      </w:pPr>
      <w:r w:rsidRPr="006435BF">
        <w:rPr>
          <w:sz w:val="20"/>
        </w:rPr>
        <w:t>Following are the questions submitted and answers provided for the above mentioned Request for Proposal. The questions and answers are to be considered as part of the Request for Proposal.  It is the Bidder’s responsibility to check the State Purchasing Bureau website for all addenda or amendments.</w:t>
      </w:r>
    </w:p>
    <w:p w:rsidR="00E908DF" w:rsidRPr="000E1E41" w:rsidRDefault="00E908DF" w:rsidP="00E908DF">
      <w:pPr>
        <w:jc w:val="both"/>
        <w:rPr>
          <w:sz w:val="24"/>
        </w:rPr>
        <w:sectPr w:rsidR="00E908DF" w:rsidRPr="000E1E41" w:rsidSect="000E1E41">
          <w:footerReference w:type="default" r:id="rId10"/>
          <w:endnotePr>
            <w:numFmt w:val="decimal"/>
          </w:endnotePr>
          <w:type w:val="continuous"/>
          <w:pgSz w:w="12240" w:h="15840"/>
          <w:pgMar w:top="1440" w:right="1440" w:bottom="1440" w:left="1440" w:header="1440" w:footer="288" w:gutter="0"/>
          <w:cols w:space="720"/>
          <w:noEndnote/>
          <w:titlePg/>
        </w:sectPr>
      </w:pPr>
    </w:p>
    <w:p w:rsidR="000E1E41" w:rsidRPr="000E1E41" w:rsidRDefault="000E1E41" w:rsidP="000E1E41">
      <w:pPr>
        <w:rPr>
          <w:sz w:val="24"/>
        </w:rPr>
        <w:sectPr w:rsidR="000E1E41" w:rsidRPr="000E1E41">
          <w:footerReference w:type="default" r:id="rId11"/>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388"/>
        <w:gridCol w:w="928"/>
        <w:gridCol w:w="2242"/>
        <w:gridCol w:w="3775"/>
      </w:tblGrid>
      <w:tr w:rsidR="00156635" w:rsidRPr="0074007C" w:rsidTr="00A82F8B">
        <w:tc>
          <w:tcPr>
            <w:tcW w:w="1017" w:type="dxa"/>
            <w:shd w:val="clear" w:color="auto" w:fill="D8D8D8"/>
          </w:tcPr>
          <w:p w:rsidR="00156635" w:rsidRPr="0074007C" w:rsidRDefault="00156635" w:rsidP="002A0AF2">
            <w:pPr>
              <w:pStyle w:val="Level1Body"/>
              <w:jc w:val="center"/>
              <w:rPr>
                <w:sz w:val="20"/>
                <w:u w:val="single"/>
              </w:rPr>
            </w:pPr>
            <w:r w:rsidRPr="0074007C">
              <w:rPr>
                <w:sz w:val="20"/>
                <w:u w:val="single"/>
              </w:rPr>
              <w:t>Question Number</w:t>
            </w:r>
          </w:p>
        </w:tc>
        <w:tc>
          <w:tcPr>
            <w:tcW w:w="1388" w:type="dxa"/>
            <w:shd w:val="clear" w:color="auto" w:fill="D8D8D8"/>
          </w:tcPr>
          <w:p w:rsidR="00156635" w:rsidRPr="0074007C" w:rsidRDefault="00E908DF" w:rsidP="002A0AF2">
            <w:pPr>
              <w:pStyle w:val="Level1Body"/>
              <w:jc w:val="center"/>
              <w:rPr>
                <w:sz w:val="20"/>
                <w:u w:val="single"/>
              </w:rPr>
            </w:pPr>
            <w:r w:rsidRPr="0074007C">
              <w:rPr>
                <w:sz w:val="20"/>
                <w:u w:val="single"/>
              </w:rPr>
              <w:t>RFP</w:t>
            </w:r>
          </w:p>
          <w:p w:rsidR="00156635" w:rsidRPr="0074007C" w:rsidRDefault="00156635" w:rsidP="002A0AF2">
            <w:pPr>
              <w:pStyle w:val="Level1Body"/>
              <w:jc w:val="center"/>
              <w:rPr>
                <w:sz w:val="20"/>
                <w:u w:val="single"/>
              </w:rPr>
            </w:pPr>
            <w:r w:rsidRPr="0074007C">
              <w:rPr>
                <w:sz w:val="20"/>
                <w:u w:val="single"/>
              </w:rPr>
              <w:t>Section</w:t>
            </w:r>
          </w:p>
          <w:p w:rsidR="00156635" w:rsidRPr="0074007C" w:rsidRDefault="00156635" w:rsidP="002A0AF2">
            <w:pPr>
              <w:pStyle w:val="Level1Body"/>
              <w:jc w:val="center"/>
              <w:rPr>
                <w:sz w:val="20"/>
                <w:u w:val="single"/>
              </w:rPr>
            </w:pPr>
            <w:r w:rsidRPr="0074007C">
              <w:rPr>
                <w:sz w:val="20"/>
                <w:u w:val="single"/>
              </w:rPr>
              <w:t>Reference</w:t>
            </w:r>
          </w:p>
        </w:tc>
        <w:tc>
          <w:tcPr>
            <w:tcW w:w="928" w:type="dxa"/>
            <w:shd w:val="clear" w:color="auto" w:fill="D8D8D8"/>
          </w:tcPr>
          <w:p w:rsidR="00156635" w:rsidRPr="0074007C" w:rsidRDefault="00E908DF" w:rsidP="00601A40">
            <w:pPr>
              <w:pStyle w:val="Level1Body"/>
              <w:jc w:val="center"/>
              <w:rPr>
                <w:sz w:val="20"/>
                <w:u w:val="single"/>
              </w:rPr>
            </w:pPr>
            <w:r w:rsidRPr="0074007C">
              <w:rPr>
                <w:sz w:val="20"/>
                <w:u w:val="single"/>
              </w:rPr>
              <w:t>RFP</w:t>
            </w:r>
          </w:p>
          <w:p w:rsidR="00156635" w:rsidRPr="0074007C" w:rsidRDefault="00156635" w:rsidP="00601A40">
            <w:pPr>
              <w:pStyle w:val="Level1Body"/>
              <w:jc w:val="center"/>
              <w:rPr>
                <w:sz w:val="20"/>
                <w:u w:val="single"/>
              </w:rPr>
            </w:pPr>
            <w:r w:rsidRPr="0074007C">
              <w:rPr>
                <w:sz w:val="20"/>
                <w:u w:val="single"/>
              </w:rPr>
              <w:t>Page Number</w:t>
            </w:r>
          </w:p>
        </w:tc>
        <w:tc>
          <w:tcPr>
            <w:tcW w:w="2242" w:type="dxa"/>
            <w:shd w:val="clear" w:color="auto" w:fill="D8D8D8"/>
          </w:tcPr>
          <w:p w:rsidR="00156635" w:rsidRPr="0074007C" w:rsidRDefault="00156635" w:rsidP="002A0AF2">
            <w:pPr>
              <w:pStyle w:val="Level1Body"/>
              <w:jc w:val="center"/>
              <w:rPr>
                <w:sz w:val="20"/>
                <w:u w:val="single"/>
              </w:rPr>
            </w:pPr>
            <w:r w:rsidRPr="0074007C">
              <w:rPr>
                <w:sz w:val="20"/>
                <w:u w:val="single"/>
              </w:rPr>
              <w:t>Question</w:t>
            </w:r>
          </w:p>
        </w:tc>
        <w:tc>
          <w:tcPr>
            <w:tcW w:w="3775" w:type="dxa"/>
            <w:shd w:val="clear" w:color="auto" w:fill="D8D8D8"/>
          </w:tcPr>
          <w:p w:rsidR="00156635" w:rsidRPr="0074007C" w:rsidRDefault="00156635" w:rsidP="002A0AF2">
            <w:pPr>
              <w:pStyle w:val="Level1Body"/>
              <w:jc w:val="center"/>
              <w:rPr>
                <w:sz w:val="20"/>
                <w:u w:val="single"/>
              </w:rPr>
            </w:pPr>
            <w:r w:rsidRPr="0074007C">
              <w:rPr>
                <w:sz w:val="20"/>
                <w:u w:val="single"/>
              </w:rPr>
              <w:t>State Response</w:t>
            </w: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t>1.</w:t>
            </w:r>
          </w:p>
        </w:tc>
        <w:tc>
          <w:tcPr>
            <w:tcW w:w="1388" w:type="dxa"/>
            <w:shd w:val="clear" w:color="auto" w:fill="auto"/>
          </w:tcPr>
          <w:p w:rsidR="00F63ADC" w:rsidRPr="0074007C" w:rsidRDefault="00F63ADC" w:rsidP="00F63ADC">
            <w:pPr>
              <w:pStyle w:val="Level1Body"/>
              <w:rPr>
                <w:sz w:val="20"/>
              </w:rPr>
            </w:pPr>
          </w:p>
        </w:tc>
        <w:tc>
          <w:tcPr>
            <w:tcW w:w="928" w:type="dxa"/>
            <w:shd w:val="clear" w:color="auto" w:fill="auto"/>
          </w:tcPr>
          <w:p w:rsidR="00F63ADC" w:rsidRPr="0074007C" w:rsidRDefault="00F63ADC" w:rsidP="00601A40">
            <w:pPr>
              <w:pStyle w:val="Level1Body"/>
              <w:jc w:val="center"/>
              <w:rPr>
                <w:sz w:val="20"/>
              </w:rPr>
            </w:pPr>
            <w:r w:rsidRPr="0074007C">
              <w:rPr>
                <w:sz w:val="20"/>
              </w:rPr>
              <w:t>33</w:t>
            </w:r>
          </w:p>
        </w:tc>
        <w:tc>
          <w:tcPr>
            <w:tcW w:w="2242" w:type="dxa"/>
            <w:shd w:val="clear" w:color="auto" w:fill="auto"/>
          </w:tcPr>
          <w:p w:rsidR="00F63ADC" w:rsidRPr="0074007C" w:rsidRDefault="00F63ADC" w:rsidP="00F63ADC">
            <w:pPr>
              <w:rPr>
                <w:sz w:val="20"/>
                <w:szCs w:val="20"/>
              </w:rPr>
            </w:pPr>
            <w:r w:rsidRPr="0074007C">
              <w:rPr>
                <w:sz w:val="20"/>
                <w:szCs w:val="20"/>
              </w:rPr>
              <w:t>Is the pricing spreadsheet an end point cost or a total circuit cost?</w:t>
            </w:r>
          </w:p>
        </w:tc>
        <w:tc>
          <w:tcPr>
            <w:tcW w:w="3775" w:type="dxa"/>
            <w:shd w:val="clear" w:color="auto" w:fill="auto"/>
          </w:tcPr>
          <w:p w:rsidR="00F63ADC" w:rsidRPr="006435BF" w:rsidRDefault="00F63ADC" w:rsidP="00F63ADC">
            <w:pPr>
              <w:widowControl/>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36"/>
              <w:rPr>
                <w:sz w:val="20"/>
                <w:szCs w:val="20"/>
              </w:rPr>
            </w:pPr>
            <w:r w:rsidRPr="006435BF">
              <w:rPr>
                <w:sz w:val="20"/>
                <w:szCs w:val="20"/>
              </w:rPr>
              <w:t xml:space="preserve">The bid pricing is for a total circuit cost. </w:t>
            </w:r>
          </w:p>
          <w:p w:rsidR="00F63ADC" w:rsidRPr="006435BF" w:rsidRDefault="00F63ADC" w:rsidP="00F63ADC">
            <w:pPr>
              <w:widowControl/>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36"/>
              <w:rPr>
                <w:sz w:val="20"/>
                <w:szCs w:val="20"/>
              </w:rPr>
            </w:pPr>
          </w:p>
          <w:p w:rsidR="00F63ADC" w:rsidRPr="006435BF" w:rsidRDefault="0074007C" w:rsidP="00F63ADC">
            <w:pPr>
              <w:widowControl/>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36"/>
              <w:rPr>
                <w:sz w:val="20"/>
                <w:szCs w:val="20"/>
              </w:rPr>
            </w:pPr>
            <w:r w:rsidRPr="006435BF">
              <w:rPr>
                <w:sz w:val="20"/>
                <w:szCs w:val="20"/>
              </w:rPr>
              <w:t>Per Section V.P.2. Installation Costs “…</w:t>
            </w:r>
            <w:r w:rsidR="00F63ADC" w:rsidRPr="006435BF">
              <w:rPr>
                <w:sz w:val="20"/>
                <w:szCs w:val="20"/>
              </w:rPr>
              <w:t>This cost for the circuit installation shall include all one-time costs associated with termination to the demarcation point from the network side and/or fees associated with interconnection to local exchange carriers.</w:t>
            </w:r>
          </w:p>
          <w:p w:rsidR="00F63ADC" w:rsidRPr="006435BF" w:rsidRDefault="00F63ADC" w:rsidP="00F63ADC">
            <w:pPr>
              <w:widowControl/>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rPr>
                <w:sz w:val="20"/>
                <w:szCs w:val="20"/>
              </w:rPr>
            </w:pPr>
          </w:p>
          <w:p w:rsidR="00F63ADC" w:rsidRPr="006435BF" w:rsidRDefault="00F63ADC" w:rsidP="00F63ADC">
            <w:pPr>
              <w:widowControl/>
              <w:numPr>
                <w:ilvl w:val="3"/>
                <w:numId w:val="34"/>
              </w:numPr>
              <w:autoSpaceDE/>
              <w:autoSpaceDN/>
              <w:adjustRightInd/>
              <w:spacing w:before="0"/>
              <w:ind w:left="136" w:firstLine="0"/>
              <w:rPr>
                <w:sz w:val="20"/>
                <w:szCs w:val="20"/>
              </w:rPr>
            </w:pPr>
            <w:r w:rsidRPr="006435BF">
              <w:rPr>
                <w:sz w:val="20"/>
                <w:szCs w:val="20"/>
              </w:rPr>
              <w:t>All fees that would be incurred for a fully functioning end-to-end connection, whether recurring or non-recurring, must be included in the cost. All cross-connect, and facilities related charges that would be incurred to physically connect the circuit to Network Nebraska equipment on both ends must be included in the cost.</w:t>
            </w:r>
            <w:r w:rsidR="0074007C" w:rsidRPr="006435BF">
              <w:rPr>
                <w:sz w:val="20"/>
                <w:szCs w:val="20"/>
              </w:rPr>
              <w:t>”</w:t>
            </w:r>
          </w:p>
          <w:p w:rsidR="00F63ADC" w:rsidRPr="0074007C" w:rsidRDefault="00F63ADC" w:rsidP="00F63ADC">
            <w:pPr>
              <w:pStyle w:val="Level1Body"/>
              <w:jc w:val="left"/>
              <w:rPr>
                <w:sz w:val="20"/>
              </w:rPr>
            </w:pP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t>2.</w:t>
            </w:r>
          </w:p>
        </w:tc>
        <w:tc>
          <w:tcPr>
            <w:tcW w:w="1388" w:type="dxa"/>
            <w:shd w:val="clear" w:color="auto" w:fill="auto"/>
          </w:tcPr>
          <w:p w:rsidR="00F63ADC" w:rsidRPr="0074007C" w:rsidRDefault="00F63ADC" w:rsidP="00F63ADC">
            <w:pPr>
              <w:pStyle w:val="Level1Body"/>
              <w:rPr>
                <w:sz w:val="20"/>
              </w:rPr>
            </w:pPr>
          </w:p>
        </w:tc>
        <w:tc>
          <w:tcPr>
            <w:tcW w:w="928" w:type="dxa"/>
            <w:shd w:val="clear" w:color="auto" w:fill="auto"/>
          </w:tcPr>
          <w:p w:rsidR="00F63ADC" w:rsidRPr="0074007C" w:rsidRDefault="00F63ADC" w:rsidP="00601A40">
            <w:pPr>
              <w:pStyle w:val="Level1Body"/>
              <w:jc w:val="center"/>
              <w:rPr>
                <w:sz w:val="20"/>
              </w:rPr>
            </w:pPr>
            <w:r w:rsidRPr="0074007C">
              <w:rPr>
                <w:sz w:val="20"/>
              </w:rPr>
              <w:t>26</w:t>
            </w:r>
          </w:p>
        </w:tc>
        <w:tc>
          <w:tcPr>
            <w:tcW w:w="2242" w:type="dxa"/>
            <w:shd w:val="clear" w:color="auto" w:fill="auto"/>
          </w:tcPr>
          <w:p w:rsidR="00F63ADC" w:rsidRPr="0074007C" w:rsidRDefault="00F63ADC" w:rsidP="00F63ADC">
            <w:pPr>
              <w:rPr>
                <w:sz w:val="20"/>
                <w:szCs w:val="20"/>
              </w:rPr>
            </w:pPr>
            <w:r w:rsidRPr="0074007C">
              <w:rPr>
                <w:sz w:val="20"/>
                <w:szCs w:val="20"/>
              </w:rPr>
              <w:t>Who is responsible for the cross connects?</w:t>
            </w:r>
          </w:p>
        </w:tc>
        <w:tc>
          <w:tcPr>
            <w:tcW w:w="3775" w:type="dxa"/>
            <w:shd w:val="clear" w:color="auto" w:fill="auto"/>
          </w:tcPr>
          <w:p w:rsidR="00F63ADC" w:rsidRPr="0074007C" w:rsidRDefault="00F63ADC" w:rsidP="00F63ADC">
            <w:pPr>
              <w:pStyle w:val="Level1Body"/>
              <w:jc w:val="left"/>
              <w:rPr>
                <w:color w:val="FF0000"/>
                <w:sz w:val="20"/>
              </w:rPr>
            </w:pPr>
            <w:r w:rsidRPr="0074007C">
              <w:rPr>
                <w:color w:val="auto"/>
                <w:sz w:val="20"/>
              </w:rPr>
              <w:t>All co-location data center cross-connect and fiber path costs needed to provide the physical interface hand-over to Network Nebraska equipment will be the responsibility of the bidder.</w:t>
            </w: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t>3.</w:t>
            </w:r>
          </w:p>
        </w:tc>
        <w:tc>
          <w:tcPr>
            <w:tcW w:w="1388" w:type="dxa"/>
            <w:shd w:val="clear" w:color="auto" w:fill="auto"/>
          </w:tcPr>
          <w:p w:rsidR="00F63ADC" w:rsidRPr="0074007C" w:rsidRDefault="00F63ADC" w:rsidP="00F63ADC">
            <w:pPr>
              <w:pStyle w:val="Level1Body"/>
              <w:rPr>
                <w:sz w:val="20"/>
              </w:rPr>
            </w:pPr>
            <w:r w:rsidRPr="0074007C">
              <w:rPr>
                <w:sz w:val="20"/>
              </w:rPr>
              <w:t xml:space="preserve"> </w:t>
            </w:r>
          </w:p>
        </w:tc>
        <w:tc>
          <w:tcPr>
            <w:tcW w:w="928" w:type="dxa"/>
            <w:shd w:val="clear" w:color="auto" w:fill="auto"/>
          </w:tcPr>
          <w:p w:rsidR="00F63ADC" w:rsidRPr="0074007C" w:rsidRDefault="00F63ADC" w:rsidP="00601A40">
            <w:pPr>
              <w:pStyle w:val="Level1Body"/>
              <w:jc w:val="center"/>
              <w:rPr>
                <w:sz w:val="20"/>
              </w:rPr>
            </w:pPr>
            <w:r w:rsidRPr="0074007C">
              <w:rPr>
                <w:sz w:val="20"/>
              </w:rPr>
              <w:t>26</w:t>
            </w: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F63ADC" w:rsidRPr="0074007C" w:rsidRDefault="00F63ADC" w:rsidP="00601A40">
            <w:pPr>
              <w:pStyle w:val="Level1Body"/>
              <w:jc w:val="center"/>
              <w:rPr>
                <w:sz w:val="20"/>
              </w:rPr>
            </w:pPr>
          </w:p>
          <w:p w:rsidR="00601A40" w:rsidRPr="0074007C" w:rsidRDefault="00601A40" w:rsidP="00601A40">
            <w:pPr>
              <w:pStyle w:val="Level1Body"/>
              <w:jc w:val="center"/>
              <w:rPr>
                <w:sz w:val="20"/>
              </w:rPr>
            </w:pPr>
          </w:p>
          <w:p w:rsidR="00F63ADC" w:rsidRPr="0074007C" w:rsidRDefault="00F63ADC" w:rsidP="00601A40">
            <w:pPr>
              <w:pStyle w:val="Level1Body"/>
              <w:jc w:val="center"/>
              <w:rPr>
                <w:sz w:val="20"/>
              </w:rPr>
            </w:pPr>
          </w:p>
        </w:tc>
        <w:tc>
          <w:tcPr>
            <w:tcW w:w="2242" w:type="dxa"/>
            <w:shd w:val="clear" w:color="auto" w:fill="auto"/>
          </w:tcPr>
          <w:p w:rsidR="00F63ADC" w:rsidRPr="0074007C" w:rsidRDefault="00F63ADC" w:rsidP="00F63ADC">
            <w:pPr>
              <w:rPr>
                <w:sz w:val="20"/>
                <w:szCs w:val="20"/>
              </w:rPr>
            </w:pPr>
            <w:r w:rsidRPr="0074007C">
              <w:rPr>
                <w:sz w:val="20"/>
                <w:szCs w:val="20"/>
              </w:rPr>
              <w:lastRenderedPageBreak/>
              <w:t>Handoff type you prefer?</w:t>
            </w:r>
          </w:p>
        </w:tc>
        <w:tc>
          <w:tcPr>
            <w:tcW w:w="3775" w:type="dxa"/>
            <w:shd w:val="clear" w:color="auto" w:fill="auto"/>
          </w:tcPr>
          <w:p w:rsidR="00F63ADC" w:rsidRPr="0074007C" w:rsidRDefault="00F63ADC" w:rsidP="00F63ADC">
            <w:pPr>
              <w:pStyle w:val="Level1Body"/>
              <w:jc w:val="left"/>
              <w:rPr>
                <w:color w:val="auto"/>
                <w:sz w:val="20"/>
              </w:rPr>
            </w:pPr>
            <w:r w:rsidRPr="0074007C">
              <w:rPr>
                <w:color w:val="auto"/>
                <w:sz w:val="20"/>
              </w:rPr>
              <w:t>A one (1) Gigabit Ethernet interface physical hand-off is required as a minimum for the connection at the identified aggregation locations.</w:t>
            </w:r>
          </w:p>
          <w:p w:rsidR="00F63ADC" w:rsidRPr="0074007C" w:rsidRDefault="00F63ADC" w:rsidP="00F63ADC">
            <w:pPr>
              <w:pStyle w:val="Level1Body"/>
              <w:jc w:val="left"/>
              <w:rPr>
                <w:color w:val="auto"/>
                <w:sz w:val="20"/>
              </w:rPr>
            </w:pPr>
          </w:p>
          <w:p w:rsidR="00F63ADC" w:rsidRPr="0074007C" w:rsidRDefault="00F63ADC" w:rsidP="00F63ADC">
            <w:pPr>
              <w:pStyle w:val="Level1Body"/>
              <w:jc w:val="left"/>
              <w:rPr>
                <w:sz w:val="20"/>
              </w:rPr>
            </w:pPr>
            <w:r w:rsidRPr="0074007C">
              <w:rPr>
                <w:color w:val="auto"/>
                <w:sz w:val="20"/>
              </w:rPr>
              <w:lastRenderedPageBreak/>
              <w:t xml:space="preserve">The connection to the customer is a </w:t>
            </w:r>
            <w:r w:rsidRPr="0074007C">
              <w:rPr>
                <w:b/>
                <w:color w:val="auto"/>
                <w:sz w:val="20"/>
              </w:rPr>
              <w:t>copper or fiber</w:t>
            </w:r>
            <w:r w:rsidRPr="0074007C">
              <w:rPr>
                <w:color w:val="auto"/>
                <w:sz w:val="20"/>
              </w:rPr>
              <w:t xml:space="preserve"> connection that connects directly to the customer’s Ethernet-based equipment and supports Ethernet Frame transmission between the provided and the customer.</w:t>
            </w: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lastRenderedPageBreak/>
              <w:t>4.</w:t>
            </w:r>
          </w:p>
        </w:tc>
        <w:tc>
          <w:tcPr>
            <w:tcW w:w="1388" w:type="dxa"/>
            <w:shd w:val="clear" w:color="auto" w:fill="auto"/>
          </w:tcPr>
          <w:p w:rsidR="00F63ADC" w:rsidRPr="0074007C" w:rsidRDefault="00F63ADC" w:rsidP="0074007C">
            <w:pPr>
              <w:pStyle w:val="Level1Body"/>
              <w:rPr>
                <w:sz w:val="20"/>
              </w:rPr>
            </w:pPr>
          </w:p>
        </w:tc>
        <w:tc>
          <w:tcPr>
            <w:tcW w:w="928" w:type="dxa"/>
            <w:shd w:val="clear" w:color="auto" w:fill="auto"/>
          </w:tcPr>
          <w:p w:rsidR="00F63ADC" w:rsidRPr="0074007C" w:rsidRDefault="00F63ADC" w:rsidP="00601A40">
            <w:pPr>
              <w:pStyle w:val="Level1Body"/>
              <w:jc w:val="center"/>
              <w:rPr>
                <w:sz w:val="20"/>
              </w:rPr>
            </w:pPr>
            <w:r w:rsidRPr="0074007C">
              <w:rPr>
                <w:sz w:val="20"/>
              </w:rPr>
              <w:t>24</w:t>
            </w:r>
          </w:p>
        </w:tc>
        <w:tc>
          <w:tcPr>
            <w:tcW w:w="2242" w:type="dxa"/>
            <w:shd w:val="clear" w:color="auto" w:fill="auto"/>
          </w:tcPr>
          <w:p w:rsidR="00F63ADC" w:rsidRPr="0074007C" w:rsidRDefault="00F63ADC" w:rsidP="00F63ADC">
            <w:pPr>
              <w:rPr>
                <w:rFonts w:ascii="Calibri" w:hAnsi="Calibri"/>
                <w:sz w:val="20"/>
                <w:szCs w:val="20"/>
              </w:rPr>
            </w:pPr>
            <w:r w:rsidRPr="0074007C">
              <w:rPr>
                <w:sz w:val="20"/>
                <w:szCs w:val="20"/>
              </w:rPr>
              <w:t>We are working on our response to RFP 5761 Z1. Will any extensions will be granted on the 2/15/18 due date?</w:t>
            </w:r>
          </w:p>
        </w:tc>
        <w:tc>
          <w:tcPr>
            <w:tcW w:w="3775" w:type="dxa"/>
            <w:shd w:val="clear" w:color="auto" w:fill="auto"/>
          </w:tcPr>
          <w:p w:rsidR="0074007C" w:rsidRPr="0074007C" w:rsidRDefault="0074007C" w:rsidP="00F63ADC">
            <w:pPr>
              <w:pStyle w:val="Level1Body"/>
              <w:jc w:val="left"/>
              <w:rPr>
                <w:color w:val="auto"/>
                <w:sz w:val="20"/>
              </w:rPr>
            </w:pPr>
            <w:r>
              <w:rPr>
                <w:color w:val="auto"/>
                <w:sz w:val="20"/>
              </w:rPr>
              <w:t>The State does not anticipate extending the opening date past 2/15/2018.</w:t>
            </w:r>
          </w:p>
          <w:p w:rsidR="00F63ADC" w:rsidRPr="0086080D" w:rsidRDefault="00F63ADC" w:rsidP="0086080D">
            <w:pPr>
              <w:pStyle w:val="Level1Body"/>
              <w:jc w:val="left"/>
              <w:rPr>
                <w:strike/>
                <w:color w:val="FF0000"/>
                <w:sz w:val="20"/>
              </w:rPr>
            </w:pPr>
            <w:r w:rsidRPr="0074007C">
              <w:rPr>
                <w:strike/>
                <w:color w:val="FF0000"/>
                <w:sz w:val="20"/>
              </w:rPr>
              <w:t xml:space="preserve"> </w:t>
            </w: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t>5.</w:t>
            </w:r>
          </w:p>
        </w:tc>
        <w:tc>
          <w:tcPr>
            <w:tcW w:w="1388" w:type="dxa"/>
            <w:shd w:val="clear" w:color="auto" w:fill="auto"/>
          </w:tcPr>
          <w:p w:rsidR="00F63ADC" w:rsidRPr="0074007C" w:rsidRDefault="00F63ADC" w:rsidP="00F63ADC">
            <w:pPr>
              <w:pStyle w:val="Level1Body"/>
              <w:jc w:val="left"/>
              <w:rPr>
                <w:sz w:val="20"/>
              </w:rPr>
            </w:pPr>
            <w:r w:rsidRPr="0074007C">
              <w:rPr>
                <w:sz w:val="20"/>
              </w:rPr>
              <w:t>Appendix A Cost Sheet</w:t>
            </w:r>
          </w:p>
        </w:tc>
        <w:tc>
          <w:tcPr>
            <w:tcW w:w="928" w:type="dxa"/>
            <w:shd w:val="clear" w:color="auto" w:fill="auto"/>
          </w:tcPr>
          <w:p w:rsidR="00F63ADC" w:rsidRPr="0074007C" w:rsidRDefault="00F63ADC" w:rsidP="00601A40">
            <w:pPr>
              <w:pStyle w:val="Level1Body"/>
              <w:jc w:val="center"/>
              <w:rPr>
                <w:sz w:val="20"/>
              </w:rPr>
            </w:pPr>
          </w:p>
        </w:tc>
        <w:tc>
          <w:tcPr>
            <w:tcW w:w="2242" w:type="dxa"/>
            <w:shd w:val="clear" w:color="auto" w:fill="auto"/>
          </w:tcPr>
          <w:p w:rsidR="00F63ADC" w:rsidRPr="0074007C" w:rsidRDefault="00F63ADC" w:rsidP="00F63ADC">
            <w:pPr>
              <w:pStyle w:val="Level1Body"/>
              <w:jc w:val="left"/>
              <w:rPr>
                <w:sz w:val="20"/>
              </w:rPr>
            </w:pPr>
            <w:proofErr w:type="spellStart"/>
            <w:r w:rsidRPr="0074007C">
              <w:rPr>
                <w:bCs/>
                <w:sz w:val="20"/>
              </w:rPr>
              <w:t>Doane</w:t>
            </w:r>
            <w:proofErr w:type="spellEnd"/>
            <w:r w:rsidRPr="0074007C">
              <w:rPr>
                <w:bCs/>
                <w:sz w:val="20"/>
              </w:rPr>
              <w:t xml:space="preserve"> College has Entity “CHAB WEYERS EDUCATION HIXSON LIED ART BLDG ROOM 132” listed twice, each with a different delivery Z location.  Does this mean they are looking for a protected route or redundancy from that one originating location?</w:t>
            </w:r>
          </w:p>
        </w:tc>
        <w:tc>
          <w:tcPr>
            <w:tcW w:w="3775" w:type="dxa"/>
            <w:shd w:val="clear" w:color="auto" w:fill="auto"/>
          </w:tcPr>
          <w:p w:rsidR="00F63ADC" w:rsidRPr="0074007C" w:rsidRDefault="003D13D0" w:rsidP="003D13D0">
            <w:pPr>
              <w:pStyle w:val="Level1Body"/>
              <w:jc w:val="left"/>
              <w:rPr>
                <w:sz w:val="20"/>
              </w:rPr>
            </w:pPr>
            <w:proofErr w:type="spellStart"/>
            <w:r w:rsidRPr="0074007C">
              <w:rPr>
                <w:color w:val="auto"/>
                <w:sz w:val="20"/>
              </w:rPr>
              <w:t>Doane</w:t>
            </w:r>
            <w:proofErr w:type="spellEnd"/>
            <w:r w:rsidRPr="0074007C">
              <w:rPr>
                <w:color w:val="auto"/>
                <w:sz w:val="20"/>
              </w:rPr>
              <w:t xml:space="preserve"> University is seeking price proposal information on both delivery z locations as diverse pathways to Network Nebraska.</w:t>
            </w:r>
          </w:p>
        </w:tc>
      </w:tr>
      <w:tr w:rsidR="00F63ADC" w:rsidRPr="0074007C" w:rsidTr="00A82F8B">
        <w:tc>
          <w:tcPr>
            <w:tcW w:w="1017" w:type="dxa"/>
            <w:shd w:val="clear" w:color="auto" w:fill="auto"/>
          </w:tcPr>
          <w:p w:rsidR="00F63ADC" w:rsidRPr="0074007C" w:rsidRDefault="00F63ADC" w:rsidP="00F63ADC">
            <w:pPr>
              <w:pStyle w:val="Level1Body"/>
              <w:rPr>
                <w:sz w:val="20"/>
              </w:rPr>
            </w:pPr>
            <w:r w:rsidRPr="0074007C">
              <w:rPr>
                <w:sz w:val="20"/>
              </w:rPr>
              <w:t>6.</w:t>
            </w:r>
          </w:p>
        </w:tc>
        <w:tc>
          <w:tcPr>
            <w:tcW w:w="1388" w:type="dxa"/>
            <w:shd w:val="clear" w:color="auto" w:fill="auto"/>
          </w:tcPr>
          <w:p w:rsidR="00F63ADC" w:rsidRPr="0074007C" w:rsidRDefault="00F63ADC" w:rsidP="00F63ADC">
            <w:pPr>
              <w:pStyle w:val="Level1Body"/>
              <w:rPr>
                <w:sz w:val="20"/>
              </w:rPr>
            </w:pPr>
          </w:p>
        </w:tc>
        <w:tc>
          <w:tcPr>
            <w:tcW w:w="928" w:type="dxa"/>
            <w:shd w:val="clear" w:color="auto" w:fill="auto"/>
          </w:tcPr>
          <w:p w:rsidR="00F63ADC" w:rsidRPr="0074007C" w:rsidRDefault="00F63ADC" w:rsidP="00601A40">
            <w:pPr>
              <w:pStyle w:val="Level1Body"/>
              <w:jc w:val="center"/>
              <w:rPr>
                <w:sz w:val="20"/>
              </w:rPr>
            </w:pPr>
          </w:p>
        </w:tc>
        <w:tc>
          <w:tcPr>
            <w:tcW w:w="2242" w:type="dxa"/>
            <w:shd w:val="clear" w:color="auto" w:fill="auto"/>
          </w:tcPr>
          <w:p w:rsidR="00F63ADC" w:rsidRPr="0074007C" w:rsidRDefault="00F63ADC" w:rsidP="00F63ADC">
            <w:pPr>
              <w:rPr>
                <w:rFonts w:ascii="Calibri" w:hAnsi="Calibri"/>
                <w:iCs/>
                <w:sz w:val="20"/>
                <w:szCs w:val="20"/>
              </w:rPr>
            </w:pPr>
            <w:r w:rsidRPr="0074007C">
              <w:rPr>
                <w:iCs/>
                <w:sz w:val="20"/>
                <w:szCs w:val="20"/>
              </w:rPr>
              <w:t>I just wanted to follow up on this to determine/make sure that I don’t need to provide anything other than a response to the RFP on 2/15 by 2:00 PM.</w:t>
            </w:r>
          </w:p>
        </w:tc>
        <w:tc>
          <w:tcPr>
            <w:tcW w:w="3775" w:type="dxa"/>
            <w:shd w:val="clear" w:color="auto" w:fill="auto"/>
          </w:tcPr>
          <w:p w:rsidR="00F63ADC" w:rsidRPr="0074007C" w:rsidRDefault="00FA5593" w:rsidP="00F63ADC">
            <w:pPr>
              <w:pStyle w:val="Level1Body"/>
              <w:rPr>
                <w:color w:val="auto"/>
                <w:sz w:val="20"/>
              </w:rPr>
            </w:pPr>
            <w:r w:rsidRPr="0074007C">
              <w:rPr>
                <w:color w:val="auto"/>
                <w:sz w:val="20"/>
              </w:rPr>
              <w:t xml:space="preserve">Bidders are not required to provide anything other than a response </w:t>
            </w:r>
            <w:r w:rsidR="00B24492" w:rsidRPr="0074007C">
              <w:rPr>
                <w:color w:val="auto"/>
                <w:sz w:val="20"/>
              </w:rPr>
              <w:t>to the RFP.  Per</w:t>
            </w:r>
            <w:r w:rsidRPr="0074007C">
              <w:rPr>
                <w:color w:val="auto"/>
                <w:sz w:val="20"/>
              </w:rPr>
              <w:t xml:space="preserve"> Section I. O. Request for Proposal/Proposal Requirements</w:t>
            </w:r>
            <w:r w:rsidR="00B24492" w:rsidRPr="0074007C">
              <w:rPr>
                <w:color w:val="auto"/>
                <w:sz w:val="20"/>
              </w:rPr>
              <w:t>:</w:t>
            </w:r>
          </w:p>
          <w:p w:rsidR="00B24492" w:rsidRPr="0074007C" w:rsidRDefault="00B24492" w:rsidP="00B24492">
            <w:pPr>
              <w:widowControl/>
              <w:spacing w:before="0"/>
              <w:rPr>
                <w:rFonts w:cs="Arial"/>
                <w:color w:val="000000"/>
                <w:sz w:val="20"/>
                <w:szCs w:val="20"/>
              </w:rPr>
            </w:pPr>
          </w:p>
          <w:p w:rsidR="00B24492" w:rsidRPr="0074007C" w:rsidRDefault="00B24492" w:rsidP="00B24492">
            <w:pPr>
              <w:widowControl/>
              <w:spacing w:before="0"/>
              <w:rPr>
                <w:rFonts w:cs="Arial"/>
                <w:color w:val="000000"/>
                <w:sz w:val="20"/>
                <w:szCs w:val="20"/>
              </w:rPr>
            </w:pPr>
            <w:r w:rsidRPr="0074007C">
              <w:rPr>
                <w:rFonts w:cs="Arial"/>
                <w:color w:val="000000"/>
                <w:sz w:val="20"/>
                <w:szCs w:val="20"/>
              </w:rPr>
              <w:t xml:space="preserve">The proposals will first be examined to determine if all requirements listed below have been addressed and whether further evaluation is warranted. Proposals not meeting the requirements may be rejected as non-responsive. The requirements are: </w:t>
            </w:r>
          </w:p>
          <w:p w:rsidR="00B24492" w:rsidRPr="0074007C" w:rsidRDefault="00B24492" w:rsidP="00B24492">
            <w:pPr>
              <w:widowControl/>
              <w:spacing w:before="0" w:after="7"/>
              <w:rPr>
                <w:rFonts w:cs="Arial"/>
                <w:color w:val="000000"/>
                <w:sz w:val="20"/>
                <w:szCs w:val="20"/>
              </w:rPr>
            </w:pPr>
            <w:r w:rsidRPr="0074007C">
              <w:rPr>
                <w:rFonts w:cs="Arial"/>
                <w:b/>
                <w:bCs/>
                <w:color w:val="000000"/>
                <w:sz w:val="20"/>
                <w:szCs w:val="20"/>
              </w:rPr>
              <w:t xml:space="preserve">1. </w:t>
            </w:r>
            <w:r w:rsidRPr="0074007C">
              <w:rPr>
                <w:rFonts w:cs="Arial"/>
                <w:color w:val="000000"/>
                <w:sz w:val="20"/>
                <w:szCs w:val="20"/>
              </w:rPr>
              <w:t xml:space="preserve">Original Request for Proposal for Contractual Services form signed using an indelible method; </w:t>
            </w:r>
          </w:p>
          <w:p w:rsidR="00B24492" w:rsidRPr="0074007C" w:rsidRDefault="00B24492" w:rsidP="00B24492">
            <w:pPr>
              <w:widowControl/>
              <w:spacing w:before="0" w:after="7"/>
              <w:rPr>
                <w:rFonts w:cs="Arial"/>
                <w:color w:val="000000"/>
                <w:sz w:val="20"/>
                <w:szCs w:val="20"/>
              </w:rPr>
            </w:pPr>
            <w:r w:rsidRPr="0074007C">
              <w:rPr>
                <w:rFonts w:cs="Arial"/>
                <w:b/>
                <w:bCs/>
                <w:color w:val="000000"/>
                <w:sz w:val="20"/>
                <w:szCs w:val="20"/>
              </w:rPr>
              <w:t xml:space="preserve">2. </w:t>
            </w:r>
            <w:r w:rsidRPr="0074007C">
              <w:rPr>
                <w:rFonts w:cs="Arial"/>
                <w:color w:val="000000"/>
                <w:sz w:val="20"/>
                <w:szCs w:val="20"/>
              </w:rPr>
              <w:t xml:space="preserve">Clarity and responsiveness of the proposal; </w:t>
            </w:r>
          </w:p>
          <w:p w:rsidR="00B24492" w:rsidRPr="0074007C" w:rsidRDefault="00B24492" w:rsidP="00B24492">
            <w:pPr>
              <w:widowControl/>
              <w:spacing w:before="0" w:after="7"/>
              <w:rPr>
                <w:rFonts w:cs="Arial"/>
                <w:color w:val="000000"/>
                <w:sz w:val="20"/>
                <w:szCs w:val="20"/>
              </w:rPr>
            </w:pPr>
            <w:r w:rsidRPr="0074007C">
              <w:rPr>
                <w:rFonts w:cs="Arial"/>
                <w:b/>
                <w:bCs/>
                <w:color w:val="000000"/>
                <w:sz w:val="20"/>
                <w:szCs w:val="20"/>
              </w:rPr>
              <w:t xml:space="preserve">3. </w:t>
            </w:r>
            <w:r w:rsidRPr="0074007C">
              <w:rPr>
                <w:rFonts w:cs="Arial"/>
                <w:color w:val="000000"/>
                <w:sz w:val="20"/>
                <w:szCs w:val="20"/>
              </w:rPr>
              <w:t xml:space="preserve">Completed Sections II through VI; </w:t>
            </w:r>
          </w:p>
          <w:p w:rsidR="00B24492" w:rsidRPr="0086080D" w:rsidRDefault="00B24492" w:rsidP="0086080D">
            <w:pPr>
              <w:widowControl/>
              <w:spacing w:before="0"/>
              <w:rPr>
                <w:rFonts w:cs="Arial"/>
                <w:color w:val="000000"/>
                <w:sz w:val="20"/>
                <w:szCs w:val="20"/>
              </w:rPr>
            </w:pPr>
            <w:r w:rsidRPr="0074007C">
              <w:rPr>
                <w:rFonts w:cs="Arial"/>
                <w:b/>
                <w:bCs/>
                <w:color w:val="000000"/>
                <w:sz w:val="20"/>
                <w:szCs w:val="20"/>
              </w:rPr>
              <w:t xml:space="preserve">4. </w:t>
            </w:r>
            <w:r w:rsidRPr="0074007C">
              <w:rPr>
                <w:rFonts w:cs="Arial"/>
                <w:color w:val="000000"/>
                <w:sz w:val="20"/>
                <w:szCs w:val="20"/>
              </w:rPr>
              <w:t xml:space="preserve">Completed State Cost Proposal Template (Appendix A). </w:t>
            </w:r>
          </w:p>
        </w:tc>
      </w:tr>
    </w:tbl>
    <w:p w:rsidR="000E1E41" w:rsidRPr="000E1E41" w:rsidRDefault="000E1E41" w:rsidP="000E1E41">
      <w:pPr>
        <w:widowControl/>
        <w:spacing w:before="0" w:line="240" w:lineRule="atLeast"/>
        <w:jc w:val="both"/>
        <w:rPr>
          <w:rFonts w:ascii="Arial Narrow" w:hAnsi="Arial Narrow"/>
        </w:rPr>
      </w:pPr>
    </w:p>
    <w:p w:rsidR="00FB04DC" w:rsidRPr="00FB04DC" w:rsidRDefault="00E908DF" w:rsidP="00E908DF">
      <w:pPr>
        <w:pStyle w:val="Level1Body"/>
        <w:tabs>
          <w:tab w:val="left" w:pos="1152"/>
        </w:tabs>
      </w:pPr>
      <w:r>
        <w:tab/>
      </w:r>
    </w:p>
    <w:p w:rsidR="00E908DF" w:rsidRPr="006435BF" w:rsidRDefault="00E908DF" w:rsidP="00E908DF">
      <w:pPr>
        <w:pStyle w:val="Level1Body"/>
        <w:rPr>
          <w:sz w:val="20"/>
        </w:rPr>
      </w:pPr>
      <w:r w:rsidRPr="006435BF">
        <w:rPr>
          <w:sz w:val="20"/>
        </w:rPr>
        <w:t xml:space="preserve">This addendum will become part of the proposal and </w:t>
      </w:r>
      <w:bookmarkStart w:id="2" w:name="a8"/>
      <w:r w:rsidRPr="006435BF">
        <w:rPr>
          <w:sz w:val="20"/>
        </w:rPr>
        <w:t>should</w:t>
      </w:r>
      <w:bookmarkEnd w:id="2"/>
      <w:r w:rsidRPr="006435BF">
        <w:rPr>
          <w:sz w:val="20"/>
        </w:rPr>
        <w:t xml:space="preserve"> be </w:t>
      </w:r>
      <w:bookmarkStart w:id="3" w:name="a9"/>
      <w:r w:rsidRPr="006435BF">
        <w:rPr>
          <w:sz w:val="20"/>
        </w:rPr>
        <w:t>acknowledged</w:t>
      </w:r>
      <w:bookmarkEnd w:id="3"/>
      <w:r w:rsidRPr="006435BF">
        <w:rPr>
          <w:sz w:val="20"/>
        </w:rPr>
        <w:t xml:space="preserve"> with the Request for Proposal.</w:t>
      </w:r>
      <w:r w:rsidRPr="006435BF">
        <w:rPr>
          <w:sz w:val="20"/>
          <w:lang w:val="en-CA"/>
        </w:rPr>
        <w:fldChar w:fldCharType="begin"/>
      </w:r>
      <w:r w:rsidRPr="006435BF">
        <w:rPr>
          <w:sz w:val="20"/>
          <w:lang w:val="en-CA"/>
        </w:rPr>
        <w:instrText xml:space="preserve"> SEQ CHAPTER \h \r 1</w:instrText>
      </w:r>
      <w:r w:rsidRPr="006435BF">
        <w:rPr>
          <w:sz w:val="20"/>
          <w:lang w:val="en-CA"/>
        </w:rPr>
        <w:fldChar w:fldCharType="end"/>
      </w:r>
    </w:p>
    <w:p w:rsidR="00565F30" w:rsidRPr="00BD5697" w:rsidRDefault="00565F30" w:rsidP="00565F30">
      <w:pPr>
        <w:pStyle w:val="Level1Body"/>
        <w:sectPr w:rsidR="00565F30" w:rsidRPr="00BD5697" w:rsidSect="000B1D72">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C35F83" w:rsidRPr="00BD5697" w:rsidRDefault="00C35F83" w:rsidP="00550FC8">
      <w:pPr>
        <w:pStyle w:val="Level1Body"/>
      </w:pPr>
    </w:p>
    <w:sectPr w:rsidR="00C35F83" w:rsidRPr="00BD5697">
      <w:footerReference w:type="default" r:id="rId12"/>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93" w:rsidRDefault="00FA5593">
      <w:r>
        <w:separator/>
      </w:r>
    </w:p>
  </w:endnote>
  <w:endnote w:type="continuationSeparator" w:id="0">
    <w:p w:rsidR="00FA5593" w:rsidRDefault="00F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93" w:rsidRDefault="00FA5593"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93" w:rsidRDefault="00FA5593">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93" w:rsidRDefault="00FA5593">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A47C6">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93" w:rsidRDefault="00FA5593">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435BF">
      <w:rPr>
        <w:rStyle w:val="PageNumber"/>
        <w:b/>
        <w:noProof/>
        <w:sz w:val="20"/>
      </w:rPr>
      <w:t>3</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93" w:rsidRDefault="00FA5593">
      <w:r>
        <w:separator/>
      </w:r>
    </w:p>
  </w:footnote>
  <w:footnote w:type="continuationSeparator" w:id="0">
    <w:p w:rsidR="00FA5593" w:rsidRDefault="00FA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593" w:rsidRDefault="00FA5593"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hybridMultilevel"/>
    <w:tmpl w:val="4E5A26C8"/>
    <w:lvl w:ilvl="0" w:tplc="168E9C5C">
      <w:start w:val="1"/>
      <w:numFmt w:val="decimal"/>
      <w:pStyle w:val="Level1"/>
      <w:lvlText w:val="%1."/>
      <w:lvlJc w:val="left"/>
      <w:pPr>
        <w:tabs>
          <w:tab w:val="num" w:pos="504"/>
        </w:tabs>
        <w:ind w:left="504" w:hanging="504"/>
      </w:pPr>
      <w:rPr>
        <w:rFonts w:ascii="Arial" w:hAnsi="Arial" w:hint="default"/>
        <w:b/>
        <w:i w:val="0"/>
        <w:color w:val="auto"/>
        <w:sz w:val="22"/>
      </w:rPr>
    </w:lvl>
    <w:lvl w:ilvl="1" w:tplc="FE8E541C">
      <w:start w:val="1"/>
      <w:numFmt w:val="bullet"/>
      <w:lvlText w:val=""/>
      <w:lvlJc w:val="left"/>
      <w:pPr>
        <w:tabs>
          <w:tab w:val="num" w:pos="792"/>
        </w:tabs>
        <w:ind w:left="792" w:hanging="360"/>
      </w:pPr>
      <w:rPr>
        <w:rFonts w:ascii="Symbol" w:hAnsi="Symbol" w:hint="default"/>
      </w:rPr>
    </w:lvl>
    <w:lvl w:ilvl="2" w:tplc="07F4643C" w:tentative="1">
      <w:start w:val="1"/>
      <w:numFmt w:val="lowerRoman"/>
      <w:lvlText w:val="%3."/>
      <w:lvlJc w:val="right"/>
      <w:pPr>
        <w:tabs>
          <w:tab w:val="num" w:pos="2160"/>
        </w:tabs>
        <w:ind w:left="2160" w:hanging="180"/>
      </w:pPr>
    </w:lvl>
    <w:lvl w:ilvl="3" w:tplc="ADE6F60C" w:tentative="1">
      <w:start w:val="1"/>
      <w:numFmt w:val="decimal"/>
      <w:lvlText w:val="%4."/>
      <w:lvlJc w:val="left"/>
      <w:pPr>
        <w:tabs>
          <w:tab w:val="num" w:pos="2880"/>
        </w:tabs>
        <w:ind w:left="2880" w:hanging="360"/>
      </w:pPr>
    </w:lvl>
    <w:lvl w:ilvl="4" w:tplc="B60ED288" w:tentative="1">
      <w:start w:val="1"/>
      <w:numFmt w:val="lowerLetter"/>
      <w:lvlText w:val="%5."/>
      <w:lvlJc w:val="left"/>
      <w:pPr>
        <w:tabs>
          <w:tab w:val="num" w:pos="3600"/>
        </w:tabs>
        <w:ind w:left="3600" w:hanging="360"/>
      </w:pPr>
    </w:lvl>
    <w:lvl w:ilvl="5" w:tplc="476ED9CA" w:tentative="1">
      <w:start w:val="1"/>
      <w:numFmt w:val="lowerRoman"/>
      <w:lvlText w:val="%6."/>
      <w:lvlJc w:val="right"/>
      <w:pPr>
        <w:tabs>
          <w:tab w:val="num" w:pos="4320"/>
        </w:tabs>
        <w:ind w:left="4320" w:hanging="180"/>
      </w:pPr>
    </w:lvl>
    <w:lvl w:ilvl="6" w:tplc="B584F8B6" w:tentative="1">
      <w:start w:val="1"/>
      <w:numFmt w:val="decimal"/>
      <w:lvlText w:val="%7."/>
      <w:lvlJc w:val="left"/>
      <w:pPr>
        <w:tabs>
          <w:tab w:val="num" w:pos="5040"/>
        </w:tabs>
        <w:ind w:left="5040" w:hanging="360"/>
      </w:pPr>
    </w:lvl>
    <w:lvl w:ilvl="7" w:tplc="10726626" w:tentative="1">
      <w:start w:val="1"/>
      <w:numFmt w:val="lowerLetter"/>
      <w:lvlText w:val="%8."/>
      <w:lvlJc w:val="left"/>
      <w:pPr>
        <w:tabs>
          <w:tab w:val="num" w:pos="5760"/>
        </w:tabs>
        <w:ind w:left="5760" w:hanging="360"/>
      </w:pPr>
    </w:lvl>
    <w:lvl w:ilvl="8" w:tplc="1CE03112" w:tentative="1">
      <w:start w:val="1"/>
      <w:numFmt w:val="lowerRoman"/>
      <w:lvlText w:val="%9."/>
      <w:lvlJc w:val="right"/>
      <w:pPr>
        <w:tabs>
          <w:tab w:val="num" w:pos="6480"/>
        </w:tabs>
        <w:ind w:left="6480" w:hanging="180"/>
      </w:pPr>
    </w:lvl>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2F1A83E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648E15BA">
      <w:start w:val="1"/>
      <w:numFmt w:val="decimal"/>
      <w:lvlText w:val="%1."/>
      <w:lvlJc w:val="left"/>
      <w:pPr>
        <w:tabs>
          <w:tab w:val="num" w:pos="360"/>
        </w:tabs>
        <w:ind w:left="360" w:hanging="360"/>
      </w:pPr>
      <w:rPr>
        <w:rFonts w:hint="default"/>
      </w:rPr>
    </w:lvl>
    <w:lvl w:ilvl="1" w:tplc="01241E1C" w:tentative="1">
      <w:start w:val="1"/>
      <w:numFmt w:val="lowerLetter"/>
      <w:lvlText w:val="%2."/>
      <w:lvlJc w:val="left"/>
      <w:pPr>
        <w:tabs>
          <w:tab w:val="num" w:pos="1440"/>
        </w:tabs>
        <w:ind w:left="1440" w:hanging="360"/>
      </w:pPr>
    </w:lvl>
    <w:lvl w:ilvl="2" w:tplc="70946ADA" w:tentative="1">
      <w:start w:val="1"/>
      <w:numFmt w:val="lowerRoman"/>
      <w:lvlText w:val="%3."/>
      <w:lvlJc w:val="right"/>
      <w:pPr>
        <w:tabs>
          <w:tab w:val="num" w:pos="2160"/>
        </w:tabs>
        <w:ind w:left="2160" w:hanging="180"/>
      </w:pPr>
    </w:lvl>
    <w:lvl w:ilvl="3" w:tplc="882A187C" w:tentative="1">
      <w:start w:val="1"/>
      <w:numFmt w:val="decimal"/>
      <w:lvlText w:val="%4."/>
      <w:lvlJc w:val="left"/>
      <w:pPr>
        <w:tabs>
          <w:tab w:val="num" w:pos="2880"/>
        </w:tabs>
        <w:ind w:left="2880" w:hanging="360"/>
      </w:pPr>
    </w:lvl>
    <w:lvl w:ilvl="4" w:tplc="A61C32C0" w:tentative="1">
      <w:start w:val="1"/>
      <w:numFmt w:val="lowerLetter"/>
      <w:lvlText w:val="%5."/>
      <w:lvlJc w:val="left"/>
      <w:pPr>
        <w:tabs>
          <w:tab w:val="num" w:pos="3600"/>
        </w:tabs>
        <w:ind w:left="3600" w:hanging="360"/>
      </w:pPr>
    </w:lvl>
    <w:lvl w:ilvl="5" w:tplc="548AB72E" w:tentative="1">
      <w:start w:val="1"/>
      <w:numFmt w:val="lowerRoman"/>
      <w:lvlText w:val="%6."/>
      <w:lvlJc w:val="right"/>
      <w:pPr>
        <w:tabs>
          <w:tab w:val="num" w:pos="4320"/>
        </w:tabs>
        <w:ind w:left="4320" w:hanging="180"/>
      </w:pPr>
    </w:lvl>
    <w:lvl w:ilvl="6" w:tplc="15748A78" w:tentative="1">
      <w:start w:val="1"/>
      <w:numFmt w:val="decimal"/>
      <w:lvlText w:val="%7."/>
      <w:lvlJc w:val="left"/>
      <w:pPr>
        <w:tabs>
          <w:tab w:val="num" w:pos="5040"/>
        </w:tabs>
        <w:ind w:left="5040" w:hanging="360"/>
      </w:pPr>
    </w:lvl>
    <w:lvl w:ilvl="7" w:tplc="81A8726C" w:tentative="1">
      <w:start w:val="1"/>
      <w:numFmt w:val="lowerLetter"/>
      <w:lvlText w:val="%8."/>
      <w:lvlJc w:val="left"/>
      <w:pPr>
        <w:tabs>
          <w:tab w:val="num" w:pos="5760"/>
        </w:tabs>
        <w:ind w:left="5760" w:hanging="360"/>
      </w:pPr>
    </w:lvl>
    <w:lvl w:ilvl="8" w:tplc="351030BA"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E18436C8">
      <w:start w:val="1"/>
      <w:numFmt w:val="decimal"/>
      <w:lvlText w:val="%1."/>
      <w:lvlJc w:val="left"/>
      <w:pPr>
        <w:tabs>
          <w:tab w:val="num" w:pos="720"/>
        </w:tabs>
        <w:ind w:left="720" w:hanging="360"/>
      </w:pPr>
    </w:lvl>
    <w:lvl w:ilvl="1" w:tplc="23C0E810" w:tentative="1">
      <w:start w:val="1"/>
      <w:numFmt w:val="lowerLetter"/>
      <w:lvlText w:val="%2."/>
      <w:lvlJc w:val="left"/>
      <w:pPr>
        <w:tabs>
          <w:tab w:val="num" w:pos="1440"/>
        </w:tabs>
        <w:ind w:left="1440" w:hanging="360"/>
      </w:pPr>
    </w:lvl>
    <w:lvl w:ilvl="2" w:tplc="2D683E3C" w:tentative="1">
      <w:start w:val="1"/>
      <w:numFmt w:val="lowerRoman"/>
      <w:lvlText w:val="%3."/>
      <w:lvlJc w:val="right"/>
      <w:pPr>
        <w:tabs>
          <w:tab w:val="num" w:pos="2160"/>
        </w:tabs>
        <w:ind w:left="2160" w:hanging="180"/>
      </w:pPr>
    </w:lvl>
    <w:lvl w:ilvl="3" w:tplc="FB7AFCA6" w:tentative="1">
      <w:start w:val="1"/>
      <w:numFmt w:val="decimal"/>
      <w:lvlText w:val="%4."/>
      <w:lvlJc w:val="left"/>
      <w:pPr>
        <w:tabs>
          <w:tab w:val="num" w:pos="2880"/>
        </w:tabs>
        <w:ind w:left="2880" w:hanging="360"/>
      </w:pPr>
    </w:lvl>
    <w:lvl w:ilvl="4" w:tplc="FE8614EA" w:tentative="1">
      <w:start w:val="1"/>
      <w:numFmt w:val="lowerLetter"/>
      <w:lvlText w:val="%5."/>
      <w:lvlJc w:val="left"/>
      <w:pPr>
        <w:tabs>
          <w:tab w:val="num" w:pos="3600"/>
        </w:tabs>
        <w:ind w:left="3600" w:hanging="360"/>
      </w:pPr>
    </w:lvl>
    <w:lvl w:ilvl="5" w:tplc="AC1679CA" w:tentative="1">
      <w:start w:val="1"/>
      <w:numFmt w:val="lowerRoman"/>
      <w:lvlText w:val="%6."/>
      <w:lvlJc w:val="right"/>
      <w:pPr>
        <w:tabs>
          <w:tab w:val="num" w:pos="4320"/>
        </w:tabs>
        <w:ind w:left="4320" w:hanging="180"/>
      </w:pPr>
    </w:lvl>
    <w:lvl w:ilvl="6" w:tplc="DC30AA50" w:tentative="1">
      <w:start w:val="1"/>
      <w:numFmt w:val="decimal"/>
      <w:lvlText w:val="%7."/>
      <w:lvlJc w:val="left"/>
      <w:pPr>
        <w:tabs>
          <w:tab w:val="num" w:pos="5040"/>
        </w:tabs>
        <w:ind w:left="5040" w:hanging="360"/>
      </w:pPr>
    </w:lvl>
    <w:lvl w:ilvl="7" w:tplc="358E0472" w:tentative="1">
      <w:start w:val="1"/>
      <w:numFmt w:val="lowerLetter"/>
      <w:lvlText w:val="%8."/>
      <w:lvlJc w:val="left"/>
      <w:pPr>
        <w:tabs>
          <w:tab w:val="num" w:pos="5760"/>
        </w:tabs>
        <w:ind w:left="5760" w:hanging="360"/>
      </w:pPr>
    </w:lvl>
    <w:lvl w:ilvl="8" w:tplc="03CE6880"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BC42A96"/>
    <w:multiLevelType w:val="hybridMultilevel"/>
    <w:tmpl w:val="59FCB356"/>
    <w:lvl w:ilvl="0" w:tplc="A84CD648">
      <w:start w:val="1"/>
      <w:numFmt w:val="bullet"/>
      <w:lvlText w:val=""/>
      <w:lvlJc w:val="left"/>
      <w:pPr>
        <w:tabs>
          <w:tab w:val="num" w:pos="432"/>
        </w:tabs>
        <w:ind w:left="432" w:hanging="432"/>
      </w:pPr>
      <w:rPr>
        <w:rFonts w:ascii="Symbol" w:hAnsi="Symbol" w:hint="default"/>
      </w:rPr>
    </w:lvl>
    <w:lvl w:ilvl="1" w:tplc="4970C7A2" w:tentative="1">
      <w:start w:val="1"/>
      <w:numFmt w:val="lowerLetter"/>
      <w:lvlText w:val="%2."/>
      <w:lvlJc w:val="left"/>
      <w:pPr>
        <w:tabs>
          <w:tab w:val="num" w:pos="1440"/>
        </w:tabs>
        <w:ind w:left="1440" w:hanging="360"/>
      </w:pPr>
    </w:lvl>
    <w:lvl w:ilvl="2" w:tplc="2658431E" w:tentative="1">
      <w:start w:val="1"/>
      <w:numFmt w:val="lowerRoman"/>
      <w:lvlText w:val="%3."/>
      <w:lvlJc w:val="right"/>
      <w:pPr>
        <w:tabs>
          <w:tab w:val="num" w:pos="2160"/>
        </w:tabs>
        <w:ind w:left="2160" w:hanging="180"/>
      </w:pPr>
    </w:lvl>
    <w:lvl w:ilvl="3" w:tplc="3FB22084" w:tentative="1">
      <w:start w:val="1"/>
      <w:numFmt w:val="decimal"/>
      <w:lvlText w:val="%4."/>
      <w:lvlJc w:val="left"/>
      <w:pPr>
        <w:tabs>
          <w:tab w:val="num" w:pos="2880"/>
        </w:tabs>
        <w:ind w:left="2880" w:hanging="360"/>
      </w:pPr>
    </w:lvl>
    <w:lvl w:ilvl="4" w:tplc="B3F2B762" w:tentative="1">
      <w:start w:val="1"/>
      <w:numFmt w:val="lowerLetter"/>
      <w:lvlText w:val="%5."/>
      <w:lvlJc w:val="left"/>
      <w:pPr>
        <w:tabs>
          <w:tab w:val="num" w:pos="3600"/>
        </w:tabs>
        <w:ind w:left="3600" w:hanging="360"/>
      </w:pPr>
    </w:lvl>
    <w:lvl w:ilvl="5" w:tplc="D5C20BA2" w:tentative="1">
      <w:start w:val="1"/>
      <w:numFmt w:val="lowerRoman"/>
      <w:lvlText w:val="%6."/>
      <w:lvlJc w:val="right"/>
      <w:pPr>
        <w:tabs>
          <w:tab w:val="num" w:pos="4320"/>
        </w:tabs>
        <w:ind w:left="4320" w:hanging="180"/>
      </w:pPr>
    </w:lvl>
    <w:lvl w:ilvl="6" w:tplc="C4627ADC" w:tentative="1">
      <w:start w:val="1"/>
      <w:numFmt w:val="decimal"/>
      <w:lvlText w:val="%7."/>
      <w:lvlJc w:val="left"/>
      <w:pPr>
        <w:tabs>
          <w:tab w:val="num" w:pos="5040"/>
        </w:tabs>
        <w:ind w:left="5040" w:hanging="360"/>
      </w:pPr>
    </w:lvl>
    <w:lvl w:ilvl="7" w:tplc="F126BEF4" w:tentative="1">
      <w:start w:val="1"/>
      <w:numFmt w:val="lowerLetter"/>
      <w:lvlText w:val="%8."/>
      <w:lvlJc w:val="left"/>
      <w:pPr>
        <w:tabs>
          <w:tab w:val="num" w:pos="5760"/>
        </w:tabs>
        <w:ind w:left="5760" w:hanging="360"/>
      </w:pPr>
    </w:lvl>
    <w:lvl w:ilvl="8" w:tplc="1C22C4C6"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E3D0440C"/>
    <w:numStyleLink w:val="SchedofEvents-Numbered"/>
  </w:abstractNum>
  <w:abstractNum w:abstractNumId="31"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29"/>
  </w:num>
  <w:num w:numId="6">
    <w:abstractNumId w:val="34"/>
  </w:num>
  <w:num w:numId="7">
    <w:abstractNumId w:val="15"/>
  </w:num>
  <w:num w:numId="8">
    <w:abstractNumId w:val="12"/>
  </w:num>
  <w:num w:numId="9">
    <w:abstractNumId w:val="28"/>
  </w:num>
  <w:num w:numId="10">
    <w:abstractNumId w:val="19"/>
  </w:num>
  <w:num w:numId="11">
    <w:abstractNumId w:val="16"/>
  </w:num>
  <w:num w:numId="12">
    <w:abstractNumId w:val="20"/>
  </w:num>
  <w:num w:numId="13">
    <w:abstractNumId w:val="24"/>
  </w:num>
  <w:num w:numId="14">
    <w:abstractNumId w:val="32"/>
  </w:num>
  <w:num w:numId="15">
    <w:abstractNumId w:val="10"/>
  </w:num>
  <w:num w:numId="16">
    <w:abstractNumId w:val="25"/>
  </w:num>
  <w:num w:numId="17">
    <w:abstractNumId w:val="23"/>
  </w:num>
  <w:num w:numId="18">
    <w:abstractNumId w:val="31"/>
  </w:num>
  <w:num w:numId="19">
    <w:abstractNumId w:val="14"/>
  </w:num>
  <w:num w:numId="20">
    <w:abstractNumId w:val="30"/>
  </w:num>
  <w:num w:numId="21">
    <w:abstractNumId w:val="27"/>
  </w:num>
  <w:num w:numId="22">
    <w:abstractNumId w:val="2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25644"/>
    <w:rsid w:val="00030452"/>
    <w:rsid w:val="00053790"/>
    <w:rsid w:val="000878CA"/>
    <w:rsid w:val="000B1D72"/>
    <w:rsid w:val="000C5432"/>
    <w:rsid w:val="000C5DA1"/>
    <w:rsid w:val="000D69C3"/>
    <w:rsid w:val="000D79DE"/>
    <w:rsid w:val="000E1E41"/>
    <w:rsid w:val="000E5869"/>
    <w:rsid w:val="001134F7"/>
    <w:rsid w:val="00134CCE"/>
    <w:rsid w:val="00156635"/>
    <w:rsid w:val="00156FB7"/>
    <w:rsid w:val="00167AA5"/>
    <w:rsid w:val="00182AD4"/>
    <w:rsid w:val="00184504"/>
    <w:rsid w:val="00195AFF"/>
    <w:rsid w:val="001A31C9"/>
    <w:rsid w:val="001A5FA3"/>
    <w:rsid w:val="001B7621"/>
    <w:rsid w:val="001C5FA2"/>
    <w:rsid w:val="001F6C28"/>
    <w:rsid w:val="00212CF9"/>
    <w:rsid w:val="0025668F"/>
    <w:rsid w:val="002618B4"/>
    <w:rsid w:val="002707C3"/>
    <w:rsid w:val="002A0AF2"/>
    <w:rsid w:val="002D71BD"/>
    <w:rsid w:val="002E4E3B"/>
    <w:rsid w:val="002F5695"/>
    <w:rsid w:val="00301CB5"/>
    <w:rsid w:val="00307D7C"/>
    <w:rsid w:val="0031330E"/>
    <w:rsid w:val="00314B87"/>
    <w:rsid w:val="00374F2D"/>
    <w:rsid w:val="00376645"/>
    <w:rsid w:val="003C0E74"/>
    <w:rsid w:val="003C4D6F"/>
    <w:rsid w:val="003D13D0"/>
    <w:rsid w:val="003D5608"/>
    <w:rsid w:val="003E742C"/>
    <w:rsid w:val="00425CAC"/>
    <w:rsid w:val="00433F6F"/>
    <w:rsid w:val="00446D8B"/>
    <w:rsid w:val="004574C4"/>
    <w:rsid w:val="004926FD"/>
    <w:rsid w:val="00495C72"/>
    <w:rsid w:val="00495FBB"/>
    <w:rsid w:val="00516929"/>
    <w:rsid w:val="005315D8"/>
    <w:rsid w:val="00550FC8"/>
    <w:rsid w:val="00565F30"/>
    <w:rsid w:val="0058191C"/>
    <w:rsid w:val="005A081D"/>
    <w:rsid w:val="00601A40"/>
    <w:rsid w:val="006305B1"/>
    <w:rsid w:val="006435BF"/>
    <w:rsid w:val="0065317C"/>
    <w:rsid w:val="006536B5"/>
    <w:rsid w:val="00672EB5"/>
    <w:rsid w:val="00687AF1"/>
    <w:rsid w:val="006A18E2"/>
    <w:rsid w:val="006B392D"/>
    <w:rsid w:val="006C0810"/>
    <w:rsid w:val="00710F0D"/>
    <w:rsid w:val="007124F4"/>
    <w:rsid w:val="007237A1"/>
    <w:rsid w:val="0074007C"/>
    <w:rsid w:val="00740947"/>
    <w:rsid w:val="00744C0B"/>
    <w:rsid w:val="00754004"/>
    <w:rsid w:val="00795970"/>
    <w:rsid w:val="007C187D"/>
    <w:rsid w:val="007E6FBB"/>
    <w:rsid w:val="00825B01"/>
    <w:rsid w:val="0086080D"/>
    <w:rsid w:val="0086338A"/>
    <w:rsid w:val="008909B1"/>
    <w:rsid w:val="008A649F"/>
    <w:rsid w:val="008B1CA2"/>
    <w:rsid w:val="0090088E"/>
    <w:rsid w:val="009028B1"/>
    <w:rsid w:val="00927B54"/>
    <w:rsid w:val="0093111C"/>
    <w:rsid w:val="00944C93"/>
    <w:rsid w:val="00985593"/>
    <w:rsid w:val="00987AFA"/>
    <w:rsid w:val="009A795A"/>
    <w:rsid w:val="009C6278"/>
    <w:rsid w:val="009F49D3"/>
    <w:rsid w:val="00A01E94"/>
    <w:rsid w:val="00A16419"/>
    <w:rsid w:val="00A544AD"/>
    <w:rsid w:val="00A82F8B"/>
    <w:rsid w:val="00AA0F1D"/>
    <w:rsid w:val="00AB1852"/>
    <w:rsid w:val="00AC0747"/>
    <w:rsid w:val="00B04380"/>
    <w:rsid w:val="00B061E4"/>
    <w:rsid w:val="00B24492"/>
    <w:rsid w:val="00B249FD"/>
    <w:rsid w:val="00B4087F"/>
    <w:rsid w:val="00B4780B"/>
    <w:rsid w:val="00B6765A"/>
    <w:rsid w:val="00B83C14"/>
    <w:rsid w:val="00BD4BD4"/>
    <w:rsid w:val="00BD5697"/>
    <w:rsid w:val="00BE5A1E"/>
    <w:rsid w:val="00C262CC"/>
    <w:rsid w:val="00C2659A"/>
    <w:rsid w:val="00C313F6"/>
    <w:rsid w:val="00C317B5"/>
    <w:rsid w:val="00C35F83"/>
    <w:rsid w:val="00C36829"/>
    <w:rsid w:val="00C4790E"/>
    <w:rsid w:val="00C54AAE"/>
    <w:rsid w:val="00CA47C6"/>
    <w:rsid w:val="00CB1158"/>
    <w:rsid w:val="00CE7602"/>
    <w:rsid w:val="00CF753A"/>
    <w:rsid w:val="00D12F84"/>
    <w:rsid w:val="00D5390D"/>
    <w:rsid w:val="00D60269"/>
    <w:rsid w:val="00D75131"/>
    <w:rsid w:val="00D75CF5"/>
    <w:rsid w:val="00D86D79"/>
    <w:rsid w:val="00DA7CD3"/>
    <w:rsid w:val="00DB23F7"/>
    <w:rsid w:val="00DD2DBC"/>
    <w:rsid w:val="00E16298"/>
    <w:rsid w:val="00E360DF"/>
    <w:rsid w:val="00E37B3E"/>
    <w:rsid w:val="00E4723E"/>
    <w:rsid w:val="00E80044"/>
    <w:rsid w:val="00E85095"/>
    <w:rsid w:val="00E908DF"/>
    <w:rsid w:val="00E92AC8"/>
    <w:rsid w:val="00EE7171"/>
    <w:rsid w:val="00F102EA"/>
    <w:rsid w:val="00F12062"/>
    <w:rsid w:val="00F62487"/>
    <w:rsid w:val="00F63ADC"/>
    <w:rsid w:val="00F86176"/>
    <w:rsid w:val="00F91450"/>
    <w:rsid w:val="00FA5593"/>
    <w:rsid w:val="00FB04DC"/>
    <w:rsid w:val="00FC03CF"/>
    <w:rsid w:val="00FD2948"/>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F19A404-625F-4787-8D29-A70EF360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A18E2"/>
    <w:pPr>
      <w:widowControl/>
      <w:adjustRightInd/>
      <w:spacing w:before="0"/>
    </w:pPr>
    <w:rPr>
      <w:rFonts w:eastAsia="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1220703292">
      <w:bodyDiv w:val="1"/>
      <w:marLeft w:val="0"/>
      <w:marRight w:val="0"/>
      <w:marTop w:val="0"/>
      <w:marBottom w:val="0"/>
      <w:divBdr>
        <w:top w:val="none" w:sz="0" w:space="0" w:color="auto"/>
        <w:left w:val="none" w:sz="0" w:space="0" w:color="auto"/>
        <w:bottom w:val="none" w:sz="0" w:space="0" w:color="auto"/>
        <w:right w:val="none" w:sz="0" w:space="0" w:color="auto"/>
      </w:divBdr>
    </w:div>
    <w:div w:id="1264000995">
      <w:bodyDiv w:val="1"/>
      <w:marLeft w:val="0"/>
      <w:marRight w:val="0"/>
      <w:marTop w:val="0"/>
      <w:marBottom w:val="0"/>
      <w:divBdr>
        <w:top w:val="none" w:sz="0" w:space="0" w:color="auto"/>
        <w:left w:val="none" w:sz="0" w:space="0" w:color="auto"/>
        <w:bottom w:val="none" w:sz="0" w:space="0" w:color="auto"/>
        <w:right w:val="none" w:sz="0" w:space="0" w:color="auto"/>
      </w:divBdr>
    </w:div>
    <w:div w:id="1407260985">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3218-BBD8-4869-971A-739A9D0A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543</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Thompson, Michelle</cp:lastModifiedBy>
  <cp:revision>9</cp:revision>
  <cp:lastPrinted>2018-02-01T22:44:00Z</cp:lastPrinted>
  <dcterms:created xsi:type="dcterms:W3CDTF">2018-02-01T18:16:00Z</dcterms:created>
  <dcterms:modified xsi:type="dcterms:W3CDTF">2018-02-01T22:44:00Z</dcterms:modified>
</cp:coreProperties>
</file>